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5F8BB55" w:rsidR="00CD4C7B" w:rsidRPr="00A84117"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D42F3">
        <w:rPr>
          <w:noProof w:val="0"/>
          <w:sz w:val="24"/>
          <w:szCs w:val="24"/>
        </w:rPr>
        <w:t>#9</w:t>
      </w:r>
      <w:r w:rsidR="00CB21F7">
        <w:rPr>
          <w:noProof w:val="0"/>
          <w:sz w:val="24"/>
          <w:szCs w:val="24"/>
        </w:rPr>
        <w:t>9</w:t>
      </w:r>
      <w:r w:rsidRPr="00B266B0">
        <w:rPr>
          <w:bCs/>
          <w:noProof w:val="0"/>
          <w:sz w:val="24"/>
          <w:szCs w:val="24"/>
        </w:rPr>
        <w:tab/>
      </w:r>
      <w:r w:rsidR="0092194B" w:rsidRPr="0092194B">
        <w:rPr>
          <w:bCs/>
          <w:noProof w:val="0"/>
          <w:sz w:val="24"/>
          <w:szCs w:val="24"/>
        </w:rPr>
        <w:t>R2-1708760</w:t>
      </w:r>
      <w:bookmarkStart w:id="1" w:name="_GoBack"/>
      <w:bookmarkEnd w:id="1"/>
    </w:p>
    <w:p w14:paraId="231362B2" w14:textId="327E9023" w:rsidR="00CD4C7B" w:rsidRPr="00B266B0" w:rsidRDefault="00C67EF5" w:rsidP="00CD4C7B">
      <w:pPr>
        <w:pStyle w:val="Header"/>
        <w:tabs>
          <w:tab w:val="right" w:pos="9639"/>
        </w:tabs>
        <w:rPr>
          <w:bCs/>
          <w:noProof w:val="0"/>
          <w:sz w:val="24"/>
          <w:szCs w:val="24"/>
        </w:rPr>
      </w:pPr>
      <w:r>
        <w:rPr>
          <w:rFonts w:eastAsia="宋体"/>
          <w:noProof w:val="0"/>
          <w:sz w:val="24"/>
          <w:szCs w:val="24"/>
          <w:lang w:eastAsia="zh-CN"/>
        </w:rPr>
        <w:t>Berlin</w:t>
      </w:r>
      <w:r w:rsidRPr="00C24650">
        <w:rPr>
          <w:rFonts w:eastAsia="宋体"/>
          <w:noProof w:val="0"/>
          <w:sz w:val="24"/>
          <w:szCs w:val="24"/>
          <w:lang w:eastAsia="zh-CN"/>
        </w:rPr>
        <w:t xml:space="preserve">, </w:t>
      </w:r>
      <w:r>
        <w:rPr>
          <w:rFonts w:eastAsia="宋体"/>
          <w:noProof w:val="0"/>
          <w:sz w:val="24"/>
          <w:szCs w:val="24"/>
          <w:lang w:eastAsia="zh-CN"/>
        </w:rPr>
        <w:t>Germany</w:t>
      </w:r>
      <w:r w:rsidRPr="00C24650">
        <w:rPr>
          <w:rFonts w:eastAsia="宋体"/>
          <w:noProof w:val="0"/>
          <w:sz w:val="24"/>
          <w:szCs w:val="24"/>
          <w:lang w:eastAsia="zh-CN"/>
        </w:rPr>
        <w:t xml:space="preserve">, </w:t>
      </w:r>
      <w:r>
        <w:rPr>
          <w:rFonts w:eastAsia="宋体"/>
          <w:noProof w:val="0"/>
          <w:sz w:val="24"/>
          <w:szCs w:val="24"/>
          <w:lang w:eastAsia="zh-CN"/>
        </w:rPr>
        <w:t xml:space="preserve">21 - 25 August </w:t>
      </w:r>
      <w:r w:rsidRPr="00C24650">
        <w:rPr>
          <w:rFonts w:eastAsia="宋体"/>
          <w:noProof w:val="0"/>
          <w:sz w:val="24"/>
          <w:szCs w:val="24"/>
          <w:lang w:eastAsia="zh-CN"/>
        </w:rPr>
        <w:t>201</w:t>
      </w:r>
      <w:r>
        <w:rPr>
          <w:rFonts w:eastAsia="宋体"/>
          <w:noProof w:val="0"/>
          <w:sz w:val="24"/>
          <w:szCs w:val="24"/>
          <w:lang w:eastAsia="zh-CN"/>
        </w:rPr>
        <w:t>7</w:t>
      </w:r>
      <w:r w:rsidR="0089311A" w:rsidRPr="00A84117">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DF5C14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F4D0E">
        <w:rPr>
          <w:rFonts w:cs="Arial"/>
          <w:b/>
          <w:bCs/>
          <w:sz w:val="24"/>
          <w:lang w:eastAsia="ja-JP"/>
        </w:rPr>
        <w:t>7.4</w:t>
      </w:r>
    </w:p>
    <w:p w14:paraId="6A1BC0C1" w14:textId="193A39A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67EF5" w:rsidRPr="00C67EF5">
        <w:rPr>
          <w:rFonts w:ascii="Arial" w:hAnsi="Arial" w:cs="Arial"/>
          <w:b/>
          <w:bCs/>
          <w:sz w:val="24"/>
        </w:rPr>
        <w:t>Nokia, Nokia Shanghai Bell</w:t>
      </w:r>
      <w:r w:rsidR="00C67EF5">
        <w:rPr>
          <w:rFonts w:ascii="Arial" w:hAnsi="Arial" w:cs="Arial"/>
          <w:b/>
          <w:bCs/>
          <w:sz w:val="24"/>
        </w:rPr>
        <w:t>, Softbank</w:t>
      </w:r>
    </w:p>
    <w:p w14:paraId="45BE90BE" w14:textId="447D212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0E39">
        <w:rPr>
          <w:rFonts w:ascii="Arial" w:hAnsi="Arial" w:cs="Arial"/>
          <w:b/>
          <w:bCs/>
          <w:sz w:val="24"/>
        </w:rPr>
        <w:t>Truncated eDRX cycle at H-SFN wrap around</w:t>
      </w:r>
      <w:r w:rsidR="00CB0633">
        <w:rPr>
          <w:rFonts w:ascii="Arial" w:hAnsi="Arial" w:cs="Arial"/>
          <w:b/>
          <w:bCs/>
          <w:sz w:val="24"/>
        </w:rPr>
        <w:t xml:space="preserve"> boundary</w:t>
      </w:r>
    </w:p>
    <w:p w14:paraId="3AC3A0B1" w14:textId="022F488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50E39" w:rsidRPr="00150E39">
        <w:rPr>
          <w:rFonts w:ascii="Arial" w:hAnsi="Arial" w:cs="Arial"/>
          <w:b/>
          <w:bCs/>
          <w:sz w:val="24"/>
        </w:rPr>
        <w:t xml:space="preserve">LTE_extDRX-Core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150E39">
        <w:rPr>
          <w:rFonts w:ascii="Arial" w:hAnsi="Arial" w:cs="Arial"/>
          <w:b/>
          <w:bCs/>
          <w:sz w:val="24"/>
        </w:rPr>
        <w:t>3</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73B53B9" w14:textId="76DC6EDE" w:rsidR="001143A9" w:rsidRDefault="00150E39" w:rsidP="001143A9">
      <w:r>
        <w:t xml:space="preserve">In this contribution, we discuss the cases of truncated eDRX cycle at H-SFN wrap around </w:t>
      </w:r>
      <w:r w:rsidR="00CB0633" w:rsidRPr="00CB0633">
        <w:t xml:space="preserve">boundary </w:t>
      </w:r>
      <w:r>
        <w:t>for certain configurations and intend to confirm the understanding with the group to avoid IOT issues</w:t>
      </w:r>
      <w:r w:rsidR="0089311A">
        <w:t>.</w:t>
      </w:r>
    </w:p>
    <w:p w14:paraId="131DE502" w14:textId="3B793DD9" w:rsidR="0089311A" w:rsidRDefault="00CD4C7B" w:rsidP="00CD4C7B">
      <w:pPr>
        <w:pStyle w:val="Heading1"/>
      </w:pPr>
      <w:r w:rsidRPr="006E13D1">
        <w:t>2</w:t>
      </w:r>
      <w:r w:rsidRPr="006E13D1">
        <w:tab/>
      </w:r>
      <w:r w:rsidR="0089311A">
        <w:t>Discussion</w:t>
      </w:r>
    </w:p>
    <w:p w14:paraId="25B81CEA" w14:textId="74BAE7C5" w:rsidR="00150E39" w:rsidRDefault="00150E39" w:rsidP="001143A9">
      <w:r>
        <w:t>For the eDRX cycles that is not divisible by 1024, e.g. for eDRX cycles of 6HF, 10HF, 12HF, 14HF, the eDRX cycle at H-SFN wrap around would be truncated to a shorter cycle</w:t>
      </w:r>
      <w:r w:rsidR="00843227">
        <w:t xml:space="preserve"> for the UEs with PH at the end of H-SFN (e.g. for the UEs with UE_ID_H mod T_eDRX_H = 1, 2, 3 for the case of eDRX cycle = 6 HF)</w:t>
      </w:r>
      <w:r w:rsidR="00342B01">
        <w:t xml:space="preserve"> or extended to a longer cycle due to no PF at the last H-SFNs</w:t>
      </w:r>
      <w:r w:rsidR="00843227">
        <w:t xml:space="preserve"> (e.g. for the UEs with UE_ID_H mode T_eDRX_H = 4, 5 for the case of eDRX cycle = 6 HF)</w:t>
      </w:r>
      <w:r>
        <w:t xml:space="preserve">, as shown in figure 1, according to the formula from 36.304: PH is the H-SFN </w:t>
      </w:r>
      <w:r w:rsidR="005E5A88" w:rsidRPr="001F03BB">
        <w:t xml:space="preserve">satisfying </w:t>
      </w:r>
      <w:r w:rsidRPr="005E5A88">
        <w:rPr>
          <w:i/>
          <w:lang w:val="en-US"/>
        </w:rPr>
        <w:t>H-SFN mod T</w:t>
      </w:r>
      <w:r w:rsidRPr="005E5A88">
        <w:rPr>
          <w:i/>
          <w:vertAlign w:val="subscript"/>
          <w:lang w:val="en-US"/>
        </w:rPr>
        <w:t>eDRX,H</w:t>
      </w:r>
      <w:r w:rsidRPr="005E5A88">
        <w:rPr>
          <w:i/>
          <w:lang w:val="en-US"/>
        </w:rPr>
        <w:t>= (UE_ID_H mod T</w:t>
      </w:r>
      <w:r w:rsidRPr="005E5A88">
        <w:rPr>
          <w:i/>
          <w:vertAlign w:val="subscript"/>
          <w:lang w:val="en-US"/>
        </w:rPr>
        <w:t>eDRX,H</w:t>
      </w:r>
      <w:r w:rsidRPr="005E5A88">
        <w:rPr>
          <w:i/>
          <w:lang w:val="en-US"/>
        </w:rPr>
        <w:t>)</w:t>
      </w:r>
      <w:r>
        <w:t xml:space="preserve">. </w:t>
      </w:r>
      <w:r w:rsidR="00F8627F">
        <w:t xml:space="preserve">It should be ensured same understanding among MME, eNB and UEs. </w:t>
      </w:r>
    </w:p>
    <w:p w14:paraId="318069EC" w14:textId="3265FC54" w:rsidR="00150E39" w:rsidRPr="006E13D1" w:rsidRDefault="00150E39" w:rsidP="00150E39">
      <w:pPr>
        <w:pStyle w:val="TF"/>
      </w:pPr>
      <w:r>
        <w:rPr>
          <w:noProof/>
          <w:lang w:eastAsia="zh-CN"/>
        </w:rPr>
        <w:drawing>
          <wp:inline distT="0" distB="0" distL="0" distR="0" wp14:anchorId="55C0289A" wp14:editId="2B5EC7AE">
            <wp:extent cx="6122035" cy="408940"/>
            <wp:effectExtent l="0" t="0" r="0" b="0"/>
            <wp:docPr id="1" name="Picture 1" descr="cid:image001.png@01D2DEDC.8FEB4E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2DEDC.8FEB4E6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122035" cy="408940"/>
                    </a:xfrm>
                    <a:prstGeom prst="rect">
                      <a:avLst/>
                    </a:prstGeom>
                    <a:noFill/>
                    <a:ln>
                      <a:noFill/>
                    </a:ln>
                  </pic:spPr>
                </pic:pic>
              </a:graphicData>
            </a:graphic>
          </wp:inline>
        </w:drawing>
      </w:r>
      <w:r w:rsidRPr="00150E39">
        <w:t xml:space="preserve"> Figure 1 truncated eDRX cycle at H-SFN wrap around</w:t>
      </w:r>
    </w:p>
    <w:p w14:paraId="47E92A9F" w14:textId="3DFB5B2C" w:rsidR="00150E39" w:rsidRDefault="00150E39" w:rsidP="001143A9">
      <w:r w:rsidRPr="00150E39">
        <w:rPr>
          <w:b/>
        </w:rPr>
        <w:t>Proposal 1</w:t>
      </w:r>
      <w:r>
        <w:t xml:space="preserve">: </w:t>
      </w:r>
      <w:r w:rsidR="005E5A88">
        <w:t xml:space="preserve">confirm that </w:t>
      </w:r>
      <w:r>
        <w:t xml:space="preserve">PH calculation according to the formula from 36.304 </w:t>
      </w:r>
      <w:r w:rsidR="005E5A88">
        <w:t xml:space="preserve">other than </w:t>
      </w:r>
      <w:r w:rsidR="00F8627F">
        <w:t xml:space="preserve">using </w:t>
      </w:r>
      <w:r w:rsidR="005E5A88">
        <w:t xml:space="preserve">incremental of eDRX cycle value after the initial </w:t>
      </w:r>
      <w:r w:rsidR="00F8627F">
        <w:t>calculation</w:t>
      </w:r>
      <w:r w:rsidR="005E5A88">
        <w:t xml:space="preserve">, </w:t>
      </w:r>
      <w:r>
        <w:t>hence it is possible to have</w:t>
      </w:r>
      <w:r w:rsidR="00136EDB">
        <w:t xml:space="preserve"> a</w:t>
      </w:r>
      <w:r>
        <w:t xml:space="preserve"> truncated eDRX cycle</w:t>
      </w:r>
      <w:r w:rsidR="00136EDB">
        <w:t xml:space="preserve"> or an extended eDRX cycle</w:t>
      </w:r>
      <w:r>
        <w:t xml:space="preserve"> at H-SFN wrap around</w:t>
      </w:r>
      <w:r w:rsidR="00F8627F">
        <w:t xml:space="preserve"> </w:t>
      </w:r>
      <w:r w:rsidR="00136EDB">
        <w:t xml:space="preserve">boundary </w:t>
      </w:r>
      <w:r w:rsidR="00F8627F">
        <w:t>when the eDRX cycle value is not divisible by 1024</w:t>
      </w:r>
      <w:r>
        <w:t>.</w:t>
      </w:r>
    </w:p>
    <w:p w14:paraId="43A12B72" w14:textId="763C33BC" w:rsidR="00CD4C7B" w:rsidRPr="006E13D1" w:rsidRDefault="00C7563B" w:rsidP="00CD4C7B">
      <w:pPr>
        <w:pStyle w:val="Heading1"/>
      </w:pPr>
      <w:r>
        <w:t>3</w:t>
      </w:r>
      <w:r w:rsidR="00CD4C7B" w:rsidRPr="006E13D1">
        <w:tab/>
      </w:r>
      <w:r>
        <w:t>Conclusions</w:t>
      </w:r>
    </w:p>
    <w:p w14:paraId="618E6A36" w14:textId="4D62ABB6" w:rsidR="00813F8C" w:rsidRDefault="00C7563B" w:rsidP="00F8627F">
      <w:r>
        <w:t xml:space="preserve">This contribution </w:t>
      </w:r>
      <w:r w:rsidR="00F8627F">
        <w:t xml:space="preserve">discussed the cases of truncated eDRX cycle at H-SFN wrap around and we proposed: </w:t>
      </w:r>
    </w:p>
    <w:p w14:paraId="331375EB" w14:textId="171C4B02" w:rsidR="00813F8C" w:rsidRDefault="00F8627F" w:rsidP="00E02084">
      <w:r w:rsidRPr="00150E39">
        <w:rPr>
          <w:b/>
        </w:rPr>
        <w:t>Proposal 1</w:t>
      </w:r>
      <w:r>
        <w:t xml:space="preserve">: confirm that PH calculation according to the formula from 36.304 other than using incremental of eDRX cycle value after the initial calculation, hence it is possible to have </w:t>
      </w:r>
      <w:r w:rsidR="00136EDB">
        <w:t xml:space="preserve">a </w:t>
      </w:r>
      <w:r>
        <w:t xml:space="preserve">truncated eDRX cycle </w:t>
      </w:r>
      <w:r w:rsidR="00136EDB">
        <w:t xml:space="preserve">or an extended eDRX cycle </w:t>
      </w:r>
      <w:r>
        <w:t xml:space="preserve">at H-SFN wrap around </w:t>
      </w:r>
      <w:r w:rsidR="00136EDB">
        <w:t xml:space="preserve">boundary </w:t>
      </w:r>
      <w:r>
        <w:t>when the eDRX cycle value is not divisible by 1024.</w:t>
      </w:r>
    </w:p>
    <w:sectPr w:rsidR="00813F8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545EE" w14:textId="77777777" w:rsidR="003B7FD7" w:rsidRDefault="003B7FD7">
      <w:r>
        <w:separator/>
      </w:r>
    </w:p>
  </w:endnote>
  <w:endnote w:type="continuationSeparator" w:id="0">
    <w:p w14:paraId="3B951A22" w14:textId="77777777" w:rsidR="003B7FD7" w:rsidRDefault="003B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C17BC" w14:textId="77777777" w:rsidR="003B7FD7" w:rsidRDefault="003B7FD7">
      <w:r>
        <w:separator/>
      </w:r>
    </w:p>
  </w:footnote>
  <w:footnote w:type="continuationSeparator" w:id="0">
    <w:p w14:paraId="03A1EDFB" w14:textId="77777777" w:rsidR="003B7FD7" w:rsidRDefault="003B7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1BA6028"/>
    <w:multiLevelType w:val="hybridMultilevel"/>
    <w:tmpl w:val="AC5CF17A"/>
    <w:lvl w:ilvl="0" w:tplc="DA4E93E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3028"/>
    <w:rsid w:val="00065490"/>
    <w:rsid w:val="00080512"/>
    <w:rsid w:val="00090468"/>
    <w:rsid w:val="000B7BCF"/>
    <w:rsid w:val="000C522B"/>
    <w:rsid w:val="000D0003"/>
    <w:rsid w:val="000D58AB"/>
    <w:rsid w:val="000D7AF2"/>
    <w:rsid w:val="00112F1A"/>
    <w:rsid w:val="001143A9"/>
    <w:rsid w:val="00121243"/>
    <w:rsid w:val="00136EDB"/>
    <w:rsid w:val="00145075"/>
    <w:rsid w:val="00150E39"/>
    <w:rsid w:val="00164854"/>
    <w:rsid w:val="00173A1B"/>
    <w:rsid w:val="001741A0"/>
    <w:rsid w:val="00182AC4"/>
    <w:rsid w:val="001863D1"/>
    <w:rsid w:val="00186441"/>
    <w:rsid w:val="00186666"/>
    <w:rsid w:val="0019429F"/>
    <w:rsid w:val="00194CD0"/>
    <w:rsid w:val="001950D5"/>
    <w:rsid w:val="001B49C9"/>
    <w:rsid w:val="001F168B"/>
    <w:rsid w:val="001F4D0E"/>
    <w:rsid w:val="001F7831"/>
    <w:rsid w:val="00204045"/>
    <w:rsid w:val="0022505E"/>
    <w:rsid w:val="0022606D"/>
    <w:rsid w:val="00230255"/>
    <w:rsid w:val="00231FE0"/>
    <w:rsid w:val="0024529B"/>
    <w:rsid w:val="002747EC"/>
    <w:rsid w:val="00284E46"/>
    <w:rsid w:val="002855BF"/>
    <w:rsid w:val="002B46F7"/>
    <w:rsid w:val="002D46E2"/>
    <w:rsid w:val="002E1B07"/>
    <w:rsid w:val="002F0D22"/>
    <w:rsid w:val="003172DC"/>
    <w:rsid w:val="00326069"/>
    <w:rsid w:val="00342B01"/>
    <w:rsid w:val="0035462D"/>
    <w:rsid w:val="003670AD"/>
    <w:rsid w:val="0037221F"/>
    <w:rsid w:val="003A37AA"/>
    <w:rsid w:val="003A6D8C"/>
    <w:rsid w:val="003B40AD"/>
    <w:rsid w:val="003B7FD7"/>
    <w:rsid w:val="003C0A5B"/>
    <w:rsid w:val="003C4E37"/>
    <w:rsid w:val="003E16BE"/>
    <w:rsid w:val="004006E8"/>
    <w:rsid w:val="00401855"/>
    <w:rsid w:val="004059F0"/>
    <w:rsid w:val="00406AC5"/>
    <w:rsid w:val="00436531"/>
    <w:rsid w:val="004410E2"/>
    <w:rsid w:val="00477455"/>
    <w:rsid w:val="004908A4"/>
    <w:rsid w:val="004D3578"/>
    <w:rsid w:val="004D380D"/>
    <w:rsid w:val="004D42F3"/>
    <w:rsid w:val="004E1582"/>
    <w:rsid w:val="004E213A"/>
    <w:rsid w:val="004F0092"/>
    <w:rsid w:val="00503171"/>
    <w:rsid w:val="00506C28"/>
    <w:rsid w:val="00534DA0"/>
    <w:rsid w:val="00537CA9"/>
    <w:rsid w:val="00543E6C"/>
    <w:rsid w:val="005557AC"/>
    <w:rsid w:val="00565087"/>
    <w:rsid w:val="0056573F"/>
    <w:rsid w:val="005E5A88"/>
    <w:rsid w:val="00611566"/>
    <w:rsid w:val="00646D99"/>
    <w:rsid w:val="00656910"/>
    <w:rsid w:val="00657F97"/>
    <w:rsid w:val="0067048C"/>
    <w:rsid w:val="006932D2"/>
    <w:rsid w:val="006C66D8"/>
    <w:rsid w:val="006D1E24"/>
    <w:rsid w:val="006E074B"/>
    <w:rsid w:val="006E1417"/>
    <w:rsid w:val="006F6A2C"/>
    <w:rsid w:val="00710201"/>
    <w:rsid w:val="00712F68"/>
    <w:rsid w:val="00734A5B"/>
    <w:rsid w:val="007352F2"/>
    <w:rsid w:val="00744E76"/>
    <w:rsid w:val="0074722B"/>
    <w:rsid w:val="00757D40"/>
    <w:rsid w:val="00781F0F"/>
    <w:rsid w:val="0078727C"/>
    <w:rsid w:val="0079049D"/>
    <w:rsid w:val="007B18D8"/>
    <w:rsid w:val="007C095F"/>
    <w:rsid w:val="007F66C3"/>
    <w:rsid w:val="008028A4"/>
    <w:rsid w:val="00813245"/>
    <w:rsid w:val="00813F8C"/>
    <w:rsid w:val="00843227"/>
    <w:rsid w:val="008538D1"/>
    <w:rsid w:val="008768CA"/>
    <w:rsid w:val="00877EF9"/>
    <w:rsid w:val="00880559"/>
    <w:rsid w:val="00892EC0"/>
    <w:rsid w:val="0089311A"/>
    <w:rsid w:val="00895E27"/>
    <w:rsid w:val="008B5306"/>
    <w:rsid w:val="008C7338"/>
    <w:rsid w:val="008E53B1"/>
    <w:rsid w:val="0090271F"/>
    <w:rsid w:val="00902DB9"/>
    <w:rsid w:val="0090466A"/>
    <w:rsid w:val="0092194B"/>
    <w:rsid w:val="0092384F"/>
    <w:rsid w:val="00926841"/>
    <w:rsid w:val="00936071"/>
    <w:rsid w:val="00940212"/>
    <w:rsid w:val="00942EC2"/>
    <w:rsid w:val="00961B32"/>
    <w:rsid w:val="00970DB3"/>
    <w:rsid w:val="00974BB0"/>
    <w:rsid w:val="009A0AF3"/>
    <w:rsid w:val="009B07CD"/>
    <w:rsid w:val="009B0D87"/>
    <w:rsid w:val="009C19E9"/>
    <w:rsid w:val="00A10F02"/>
    <w:rsid w:val="00A13B12"/>
    <w:rsid w:val="00A204CA"/>
    <w:rsid w:val="00A50B30"/>
    <w:rsid w:val="00A53724"/>
    <w:rsid w:val="00A62A3B"/>
    <w:rsid w:val="00A65F11"/>
    <w:rsid w:val="00A82346"/>
    <w:rsid w:val="00A84117"/>
    <w:rsid w:val="00A86BEE"/>
    <w:rsid w:val="00A9671C"/>
    <w:rsid w:val="00AA1553"/>
    <w:rsid w:val="00B0032E"/>
    <w:rsid w:val="00B15449"/>
    <w:rsid w:val="00B4545B"/>
    <w:rsid w:val="00B47FD1"/>
    <w:rsid w:val="00B516BB"/>
    <w:rsid w:val="00B6737F"/>
    <w:rsid w:val="00BC5F26"/>
    <w:rsid w:val="00BE09B0"/>
    <w:rsid w:val="00C12B51"/>
    <w:rsid w:val="00C24650"/>
    <w:rsid w:val="00C33079"/>
    <w:rsid w:val="00C67EF5"/>
    <w:rsid w:val="00C7563B"/>
    <w:rsid w:val="00C83A13"/>
    <w:rsid w:val="00C9068C"/>
    <w:rsid w:val="00C92967"/>
    <w:rsid w:val="00CA3D0C"/>
    <w:rsid w:val="00CA4D0B"/>
    <w:rsid w:val="00CA654B"/>
    <w:rsid w:val="00CB0633"/>
    <w:rsid w:val="00CB21F7"/>
    <w:rsid w:val="00CB67DF"/>
    <w:rsid w:val="00CC23FA"/>
    <w:rsid w:val="00CD4C7B"/>
    <w:rsid w:val="00D32252"/>
    <w:rsid w:val="00D738D6"/>
    <w:rsid w:val="00D80795"/>
    <w:rsid w:val="00D8353E"/>
    <w:rsid w:val="00D854BE"/>
    <w:rsid w:val="00D87E00"/>
    <w:rsid w:val="00D9134D"/>
    <w:rsid w:val="00D96D11"/>
    <w:rsid w:val="00DA7A03"/>
    <w:rsid w:val="00DB1818"/>
    <w:rsid w:val="00DC309B"/>
    <w:rsid w:val="00DC4DA2"/>
    <w:rsid w:val="00E02084"/>
    <w:rsid w:val="00E1396D"/>
    <w:rsid w:val="00E2233F"/>
    <w:rsid w:val="00E62835"/>
    <w:rsid w:val="00E77645"/>
    <w:rsid w:val="00E83697"/>
    <w:rsid w:val="00E85203"/>
    <w:rsid w:val="00EC4A25"/>
    <w:rsid w:val="00F025A2"/>
    <w:rsid w:val="00F07388"/>
    <w:rsid w:val="00F2026E"/>
    <w:rsid w:val="00F2210A"/>
    <w:rsid w:val="00F2583A"/>
    <w:rsid w:val="00F37743"/>
    <w:rsid w:val="00F50A73"/>
    <w:rsid w:val="00F53477"/>
    <w:rsid w:val="00F54A3D"/>
    <w:rsid w:val="00F54CB0"/>
    <w:rsid w:val="00F653B8"/>
    <w:rsid w:val="00F71B89"/>
    <w:rsid w:val="00F7353C"/>
    <w:rsid w:val="00F76F8F"/>
    <w:rsid w:val="00F8627F"/>
    <w:rsid w:val="00FA1266"/>
    <w:rsid w:val="00FB36FA"/>
    <w:rsid w:val="00FC1192"/>
    <w:rsid w:val="00FC58DA"/>
    <w:rsid w:val="00FD51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7F66C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66C3"/>
    <w:rPr>
      <w:rFonts w:ascii="Arial" w:eastAsia="MS Mincho" w:hAnsi="Arial"/>
      <w:szCs w:val="24"/>
    </w:rPr>
  </w:style>
  <w:style w:type="paragraph" w:styleId="BalloonText">
    <w:name w:val="Balloon Text"/>
    <w:basedOn w:val="Normal"/>
    <w:link w:val="BalloonTextChar"/>
    <w:rsid w:val="00892EC0"/>
    <w:pPr>
      <w:spacing w:after="0"/>
    </w:pPr>
    <w:rPr>
      <w:rFonts w:ascii="Segoe UI" w:hAnsi="Segoe UI" w:cs="Segoe UI"/>
      <w:sz w:val="18"/>
      <w:szCs w:val="18"/>
    </w:rPr>
  </w:style>
  <w:style w:type="character" w:customStyle="1" w:styleId="BalloonTextChar">
    <w:name w:val="Balloon Text Char"/>
    <w:basedOn w:val="DefaultParagraphFont"/>
    <w:link w:val="BalloonText"/>
    <w:rsid w:val="00892EC0"/>
    <w:rPr>
      <w:rFonts w:ascii="Segoe UI" w:hAnsi="Segoe UI" w:cs="Segoe UI"/>
      <w:sz w:val="18"/>
      <w:szCs w:val="18"/>
      <w:lang w:eastAsia="en-US"/>
    </w:rPr>
  </w:style>
  <w:style w:type="character" w:customStyle="1" w:styleId="Heading3Char">
    <w:name w:val="Heading 3 Char"/>
    <w:basedOn w:val="DefaultParagraphFont"/>
    <w:link w:val="Heading3"/>
    <w:rsid w:val="00892EC0"/>
    <w:rPr>
      <w:rFonts w:ascii="Arial" w:hAnsi="Arial"/>
      <w:sz w:val="28"/>
      <w:lang w:eastAsia="en-US"/>
    </w:rPr>
  </w:style>
  <w:style w:type="character" w:customStyle="1" w:styleId="Heading4Char">
    <w:name w:val="Heading 4 Char"/>
    <w:basedOn w:val="DefaultParagraphFont"/>
    <w:link w:val="Heading4"/>
    <w:rsid w:val="00892EC0"/>
    <w:rPr>
      <w:rFonts w:ascii="Arial" w:hAnsi="Arial"/>
      <w:sz w:val="24"/>
      <w:lang w:eastAsia="en-US"/>
    </w:rPr>
  </w:style>
  <w:style w:type="character" w:customStyle="1" w:styleId="Heading5Char">
    <w:name w:val="Heading 5 Char"/>
    <w:basedOn w:val="DefaultParagraphFont"/>
    <w:link w:val="Heading5"/>
    <w:rsid w:val="00892EC0"/>
    <w:rPr>
      <w:rFonts w:ascii="Arial" w:hAnsi="Arial"/>
      <w:sz w:val="22"/>
      <w:lang w:eastAsia="en-US"/>
    </w:rPr>
  </w:style>
  <w:style w:type="character" w:customStyle="1" w:styleId="B1Char">
    <w:name w:val="B1 Char"/>
    <w:link w:val="B1"/>
    <w:locked/>
    <w:rsid w:val="00892EC0"/>
    <w:rPr>
      <w:lang w:eastAsia="en-US"/>
    </w:rPr>
  </w:style>
  <w:style w:type="paragraph" w:styleId="ListParagraph">
    <w:name w:val="List Paragraph"/>
    <w:basedOn w:val="Normal"/>
    <w:uiPriority w:val="34"/>
    <w:qFormat/>
    <w:rsid w:val="00892EC0"/>
    <w:pPr>
      <w:ind w:left="72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6D8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6D8C"/>
    <w:rPr>
      <w:rFonts w:eastAsia="MS Mincho"/>
      <w:szCs w:val="24"/>
      <w:lang w:val="en-US" w:eastAsia="en-US"/>
    </w:rPr>
  </w:style>
  <w:style w:type="character" w:customStyle="1" w:styleId="TFChar">
    <w:name w:val="TF Char"/>
    <w:link w:val="TF"/>
    <w:locked/>
    <w:rsid w:val="00D32252"/>
    <w:rPr>
      <w:rFonts w:ascii="Arial" w:hAnsi="Arial"/>
      <w:b/>
      <w:lang w:eastAsia="en-US"/>
    </w:rPr>
  </w:style>
  <w:style w:type="paragraph" w:customStyle="1" w:styleId="Default">
    <w:name w:val="Default"/>
    <w:rsid w:val="00231FE0"/>
    <w:pPr>
      <w:autoSpaceDE w:val="0"/>
      <w:autoSpaceDN w:val="0"/>
      <w:adjustRightInd w:val="0"/>
    </w:pPr>
    <w:rPr>
      <w:color w:val="000000"/>
      <w:sz w:val="24"/>
      <w:szCs w:val="24"/>
      <w:lang w:val="en-US"/>
    </w:rPr>
  </w:style>
  <w:style w:type="table" w:styleId="TableGrid">
    <w:name w:val="Table Grid"/>
    <w:basedOn w:val="TableNormal"/>
    <w:rsid w:val="00406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406AC5"/>
    <w:rPr>
      <w:lang w:eastAsia="en-US"/>
    </w:rPr>
  </w:style>
  <w:style w:type="character" w:customStyle="1" w:styleId="B3Char">
    <w:name w:val="B3 Char"/>
    <w:link w:val="B3"/>
    <w:rsid w:val="00406AC5"/>
    <w:rPr>
      <w:lang w:eastAsia="en-US"/>
    </w:rPr>
  </w:style>
  <w:style w:type="character" w:styleId="CommentReference">
    <w:name w:val="annotation reference"/>
    <w:basedOn w:val="DefaultParagraphFont"/>
    <w:rsid w:val="00406AC5"/>
    <w:rPr>
      <w:sz w:val="16"/>
      <w:szCs w:val="16"/>
    </w:rPr>
  </w:style>
  <w:style w:type="paragraph" w:styleId="CommentText">
    <w:name w:val="annotation text"/>
    <w:basedOn w:val="Normal"/>
    <w:link w:val="CommentTextChar"/>
    <w:rsid w:val="00406AC5"/>
  </w:style>
  <w:style w:type="character" w:customStyle="1" w:styleId="CommentTextChar">
    <w:name w:val="Comment Text Char"/>
    <w:basedOn w:val="DefaultParagraphFont"/>
    <w:link w:val="CommentText"/>
    <w:rsid w:val="00406AC5"/>
    <w:rPr>
      <w:lang w:eastAsia="en-US"/>
    </w:rPr>
  </w:style>
  <w:style w:type="paragraph" w:styleId="CommentSubject">
    <w:name w:val="annotation subject"/>
    <w:basedOn w:val="CommentText"/>
    <w:next w:val="CommentText"/>
    <w:link w:val="CommentSubjectChar"/>
    <w:rsid w:val="00406AC5"/>
    <w:rPr>
      <w:b/>
      <w:bCs/>
    </w:rPr>
  </w:style>
  <w:style w:type="character" w:customStyle="1" w:styleId="CommentSubjectChar">
    <w:name w:val="Comment Subject Char"/>
    <w:basedOn w:val="CommentTextChar"/>
    <w:link w:val="CommentSubject"/>
    <w:rsid w:val="00406AC5"/>
    <w:rPr>
      <w:b/>
      <w:bCs/>
      <w:lang w:eastAsia="en-US"/>
    </w:rPr>
  </w:style>
  <w:style w:type="paragraph" w:styleId="Revision">
    <w:name w:val="Revision"/>
    <w:hidden/>
    <w:uiPriority w:val="99"/>
    <w:semiHidden/>
    <w:rsid w:val="00406A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545222">
      <w:bodyDiv w:val="1"/>
      <w:marLeft w:val="0"/>
      <w:marRight w:val="0"/>
      <w:marTop w:val="0"/>
      <w:marBottom w:val="0"/>
      <w:divBdr>
        <w:top w:val="none" w:sz="0" w:space="0" w:color="auto"/>
        <w:left w:val="none" w:sz="0" w:space="0" w:color="auto"/>
        <w:bottom w:val="none" w:sz="0" w:space="0" w:color="auto"/>
        <w:right w:val="none" w:sz="0" w:space="0" w:color="auto"/>
      </w:divBdr>
    </w:div>
    <w:div w:id="498347090">
      <w:bodyDiv w:val="1"/>
      <w:marLeft w:val="0"/>
      <w:marRight w:val="0"/>
      <w:marTop w:val="0"/>
      <w:marBottom w:val="0"/>
      <w:divBdr>
        <w:top w:val="none" w:sz="0" w:space="0" w:color="auto"/>
        <w:left w:val="none" w:sz="0" w:space="0" w:color="auto"/>
        <w:bottom w:val="none" w:sz="0" w:space="0" w:color="auto"/>
        <w:right w:val="none" w:sz="0" w:space="0" w:color="auto"/>
      </w:divBdr>
    </w:div>
    <w:div w:id="638997144">
      <w:bodyDiv w:val="1"/>
      <w:marLeft w:val="0"/>
      <w:marRight w:val="0"/>
      <w:marTop w:val="0"/>
      <w:marBottom w:val="0"/>
      <w:divBdr>
        <w:top w:val="none" w:sz="0" w:space="0" w:color="auto"/>
        <w:left w:val="none" w:sz="0" w:space="0" w:color="auto"/>
        <w:bottom w:val="none" w:sz="0" w:space="0" w:color="auto"/>
        <w:right w:val="none" w:sz="0" w:space="0" w:color="auto"/>
      </w:divBdr>
    </w:div>
    <w:div w:id="815419545">
      <w:bodyDiv w:val="1"/>
      <w:marLeft w:val="0"/>
      <w:marRight w:val="0"/>
      <w:marTop w:val="0"/>
      <w:marBottom w:val="0"/>
      <w:divBdr>
        <w:top w:val="none" w:sz="0" w:space="0" w:color="auto"/>
        <w:left w:val="none" w:sz="0" w:space="0" w:color="auto"/>
        <w:bottom w:val="none" w:sz="0" w:space="0" w:color="auto"/>
        <w:right w:val="none" w:sz="0" w:space="0" w:color="auto"/>
      </w:divBdr>
    </w:div>
    <w:div w:id="1174690039">
      <w:bodyDiv w:val="1"/>
      <w:marLeft w:val="0"/>
      <w:marRight w:val="0"/>
      <w:marTop w:val="0"/>
      <w:marBottom w:val="0"/>
      <w:divBdr>
        <w:top w:val="none" w:sz="0" w:space="0" w:color="auto"/>
        <w:left w:val="none" w:sz="0" w:space="0" w:color="auto"/>
        <w:bottom w:val="none" w:sz="0" w:space="0" w:color="auto"/>
        <w:right w:val="none" w:sz="0" w:space="0" w:color="auto"/>
      </w:divBdr>
    </w:div>
    <w:div w:id="1285962167">
      <w:bodyDiv w:val="1"/>
      <w:marLeft w:val="0"/>
      <w:marRight w:val="0"/>
      <w:marTop w:val="0"/>
      <w:marBottom w:val="0"/>
      <w:divBdr>
        <w:top w:val="none" w:sz="0" w:space="0" w:color="auto"/>
        <w:left w:val="none" w:sz="0" w:space="0" w:color="auto"/>
        <w:bottom w:val="none" w:sz="0" w:space="0" w:color="auto"/>
        <w:right w:val="none" w:sz="0" w:space="0" w:color="auto"/>
      </w:divBdr>
    </w:div>
    <w:div w:id="136617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4.jpg@01D2FFC1.04BA399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SP-5AIRPNAIUNRU-859666464-422</_dlc_DocId>
    <_dlc_DocIdUrl xmlns="71c5aaf6-e6ce-465b-b873-5148d2a4c105">
      <Url>https://nokia.sharepoint.com/sites/c5g/e2earch/_layouts/15/DocIdRedir.aspx?ID=SP-5AIRPNAIUNRU-859666464-422</Url>
      <Description>SP-5AIRPNAIUNRU-859666464-422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6A29B-83FA-4D2F-9A25-99656FA89ED9}">
  <ds:schemaRefs>
    <ds:schemaRef ds:uri="http://schemas.microsoft.com/sharepoint/events"/>
  </ds:schemaRefs>
</ds:datastoreItem>
</file>

<file path=customXml/itemProps2.xml><?xml version="1.0" encoding="utf-8"?>
<ds:datastoreItem xmlns:ds="http://schemas.openxmlformats.org/officeDocument/2006/customXml" ds:itemID="{EC0A7FE8-E1B1-421E-9409-450353C33B9E}">
  <ds:schemaRefs>
    <ds:schemaRef ds:uri="http://schemas.microsoft.com/sharepoint/v3/contenttype/forms"/>
  </ds:schemaRefs>
</ds:datastoreItem>
</file>

<file path=customXml/itemProps3.xml><?xml version="1.0" encoding="utf-8"?>
<ds:datastoreItem xmlns:ds="http://schemas.openxmlformats.org/officeDocument/2006/customXml" ds:itemID="{EB066B6C-D9D7-4647-A1EA-E6D0631651A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96F5E30-BB70-4065-BC3C-15FF57450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B0CECE-E576-4B02-A8D9-A710D95BE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Chunli</cp:lastModifiedBy>
  <cp:revision>3</cp:revision>
  <dcterms:created xsi:type="dcterms:W3CDTF">2017-08-11T02:18:00Z</dcterms:created>
  <dcterms:modified xsi:type="dcterms:W3CDTF">2017-08-11T02:18:00Z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f2238680-d099-4e23-b09a-d2f35816b94b</vt:lpwstr>
  </property>
  <property fmtid="{D5CDD505-2E9C-101B-9397-08002B2CF9AE}" pid="4" name="_DocHome">
    <vt:i4>-468623947</vt:i4>
  </property>
</Properties>
</file>